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97692">
      <w:pPr>
        <w:widowControl/>
        <w:jc w:val="center"/>
        <w:rPr>
          <w:rFonts w:hint="default" w:eastAsia="宋体" w:cs="Times New Roman" w:asciiTheme="minorAscii" w:hAnsiTheme="minorAscii"/>
          <w:b/>
          <w:bCs/>
          <w:color w:val="000000" w:themeColor="text1"/>
          <w:kern w:val="0"/>
          <w:sz w:val="44"/>
          <w:szCs w:val="44"/>
          <w:lang w:bidi="ar"/>
          <w14:textFill>
            <w14:solidFill>
              <w14:schemeClr w14:val="tx1"/>
            </w14:solidFill>
          </w14:textFill>
        </w:rPr>
      </w:pPr>
      <w:r>
        <w:rPr>
          <w:rFonts w:hint="default" w:eastAsia="宋体" w:cs="Times New Roman" w:asciiTheme="minorAscii" w:hAnsiTheme="minorAscii"/>
          <w:b/>
          <w:bCs/>
          <w:color w:val="000000" w:themeColor="text1"/>
          <w:kern w:val="0"/>
          <w:sz w:val="44"/>
          <w:szCs w:val="44"/>
          <w:lang w:bidi="ar"/>
          <w14:textFill>
            <w14:solidFill>
              <w14:schemeClr w14:val="tx1"/>
            </w14:solidFill>
          </w14:textFill>
        </w:rPr>
        <w:t xml:space="preserve">Portable Integrated UAV Detection, </w:t>
      </w:r>
    </w:p>
    <w:p w14:paraId="4F2E23EF">
      <w:pPr>
        <w:widowControl/>
        <w:jc w:val="center"/>
        <w:rPr>
          <w:rFonts w:hint="eastAsia" w:asciiTheme="majorEastAsia" w:hAnsiTheme="majorEastAsia" w:eastAsiaTheme="majorEastAsia" w:cstheme="majorEastAsia"/>
          <w:sz w:val="44"/>
          <w:szCs w:val="44"/>
        </w:rPr>
      </w:pPr>
      <w:r>
        <w:rPr>
          <w:rFonts w:hint="default" w:eastAsia="宋体" w:cs="Times New Roman" w:asciiTheme="minorAscii" w:hAnsiTheme="minorAscii"/>
          <w:b/>
          <w:bCs/>
          <w:color w:val="000000" w:themeColor="text1"/>
          <w:kern w:val="0"/>
          <w:sz w:val="44"/>
          <w:szCs w:val="44"/>
          <w:lang w:bidi="ar"/>
          <w14:textFill>
            <w14:solidFill>
              <w14:schemeClr w14:val="tx1"/>
            </w14:solidFill>
          </w14:textFill>
        </w:rPr>
        <w:t>Jamming, and Spoofing Device</w:t>
      </w:r>
    </w:p>
    <w:p w14:paraId="6E3B47B1">
      <w:pPr>
        <w:pStyle w:val="3"/>
        <w:bidi w:val="0"/>
        <w:jc w:val="center"/>
        <w:rPr>
          <w:rFonts w:hint="default"/>
          <w:lang w:val="en-US" w:eastAsia="zh-CN"/>
        </w:rPr>
      </w:pPr>
      <w:r>
        <w:rPr>
          <w:rFonts w:hint="eastAsia"/>
          <w:sz w:val="28"/>
          <w:szCs w:val="28"/>
          <w:lang w:val="en-US" w:eastAsia="zh-CN"/>
        </w:rPr>
        <w:t>Model No: TTSKLB11</w:t>
      </w:r>
    </w:p>
    <w:p w14:paraId="3D1A2E95">
      <w:pPr>
        <w:numPr>
          <w:ilvl w:val="0"/>
          <w:numId w:val="11"/>
        </w:numPr>
        <w:bidi w:val="0"/>
        <w:ind w:left="425" w:leftChars="0" w:hanging="425" w:firstLineChars="0"/>
        <w:rPr>
          <w:rFonts w:hint="eastAsia" w:asciiTheme="majorEastAsia" w:hAnsiTheme="majorEastAsia"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32"/>
          <w:szCs w:val="32"/>
        </w:rPr>
        <w:t>Product Introduction</w:t>
      </w:r>
    </w:p>
    <w:p w14:paraId="418670C2">
      <w:pPr>
        <w:pStyle w:val="81"/>
        <w:keepNext w:val="0"/>
        <w:keepLines w:val="0"/>
        <w:widowControl/>
        <w:suppressLineNumbers w:val="0"/>
        <w:rPr>
          <w:rFonts w:hint="eastAsia" w:asciiTheme="majorEastAsia" w:hAnsiTheme="majorEastAsia" w:eastAsiaTheme="majorEastAsia" w:cstheme="majorEastAsia"/>
        </w:rPr>
      </w:pPr>
      <w:r>
        <w:rPr>
          <w:rFonts w:hint="default" w:asciiTheme="minorAscii" w:hAnsiTheme="minorAscii"/>
          <w:lang w:val="en-US" w:eastAsia="zh-CN"/>
        </w:rPr>
        <w:t>The backpack-style UAV countermeasure device integrates detection, jamming, and spoofing capabilities into a single unit, designed with both wearable and handheld portability. The device supports 360° omnidirectional detection and, with the aid of high-gain directional antennas, can precisely locate and direction-find certain DJI drones while effectively disrupting their links. The spoofing module not only repels drones but also allows the operator to flexibly choose the spoofing direction via directional keys, enabling more targeted and secure handling.</w:t>
      </w:r>
    </w:p>
    <w:p w14:paraId="450CC4C9">
      <w:pPr>
        <w:pStyle w:val="81"/>
        <w:keepNext w:val="0"/>
        <w:keepLines w:val="0"/>
        <w:widowControl/>
        <w:suppressLineNumbers w:val="0"/>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lang w:eastAsia="zh-CN"/>
        </w:rPr>
        <w:drawing>
          <wp:inline distT="0" distB="0" distL="114300" distR="114300">
            <wp:extent cx="4393565" cy="3836670"/>
            <wp:effectExtent l="0" t="0" r="0" b="0"/>
            <wp:docPr id="26" name="图片 26" descr="C:/Users/14616/Desktop/图片1(1).png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Users/14616/Desktop/图片1(1).png图片1(1)"/>
                    <pic:cNvPicPr>
                      <a:picLocks noChangeAspect="1"/>
                    </pic:cNvPicPr>
                  </pic:nvPicPr>
                  <pic:blipFill>
                    <a:blip r:embed="rId6"/>
                    <a:srcRect l="7761" r="11529"/>
                    <a:stretch>
                      <a:fillRect/>
                    </a:stretch>
                  </pic:blipFill>
                  <pic:spPr>
                    <a:xfrm>
                      <a:off x="0" y="0"/>
                      <a:ext cx="4393565" cy="3836670"/>
                    </a:xfrm>
                    <a:prstGeom prst="rect">
                      <a:avLst/>
                    </a:prstGeom>
                  </pic:spPr>
                </pic:pic>
              </a:graphicData>
            </a:graphic>
          </wp:inline>
        </w:drawing>
      </w:r>
    </w:p>
    <w:p w14:paraId="764482C6">
      <w:pPr>
        <w:numPr>
          <w:ilvl w:val="0"/>
          <w:numId w:val="11"/>
        </w:numPr>
        <w:bidi w:val="0"/>
        <w:ind w:left="425" w:leftChars="0" w:hanging="425" w:firstLineChars="0"/>
        <w:rPr>
          <w:rFonts w:hint="eastAsia"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Main Functions</w:t>
      </w:r>
    </w:p>
    <w:p w14:paraId="3285B621">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Detects UAV communication signals and triggers an alert upon anomaly detection.</w:t>
      </w:r>
    </w:p>
    <w:p w14:paraId="5B015394">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Capable of jamming UAV remote control links, image transmission links, and satellite navigation signals to meet various operational scenarios like repelling or forced landing.</w:t>
      </w:r>
    </w:p>
    <w:p w14:paraId="72D8E098">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Supports spoofing functions that allow the operator to choose spoofing direction for flexible UAV control.</w:t>
      </w:r>
    </w:p>
    <w:p w14:paraId="4057780B">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Parses DJI drones using OcuSync2 and OcuSync3 protocols, accurately identifying model, frequency, and position.</w:t>
      </w:r>
    </w:p>
    <w:p w14:paraId="6E2004D8">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Equipped with an LCD screen that intuitively displays battery level, detection data, and device status.</w:t>
      </w:r>
    </w:p>
    <w:p w14:paraId="228DBE51">
      <w:pPr>
        <w:pStyle w:val="81"/>
        <w:keepNext w:val="0"/>
        <w:keepLines w:val="0"/>
        <w:widowControl/>
        <w:numPr>
          <w:ilvl w:val="0"/>
          <w:numId w:val="12"/>
        </w:numPr>
        <w:suppressLineNumbers w:val="0"/>
        <w:ind w:left="425" w:leftChars="0" w:hanging="425" w:firstLineChars="0"/>
        <w:rPr>
          <w:rFonts w:hint="default"/>
          <w:lang w:val="en-US" w:eastAsia="zh-CN"/>
        </w:rPr>
      </w:pPr>
      <w:r>
        <w:rPr>
          <w:rFonts w:hint="default"/>
          <w:lang w:val="en-US" w:eastAsia="zh-CN"/>
        </w:rPr>
        <w:t>Automatically logs detection data and jamming status, exportable via data cable for further analysis.</w:t>
      </w:r>
    </w:p>
    <w:p w14:paraId="27C214DD">
      <w:pPr>
        <w:tabs>
          <w:tab w:val="left" w:pos="4999"/>
        </w:tabs>
        <w:bidi w:val="0"/>
        <w:jc w:val="both"/>
        <w:rPr>
          <w:rFonts w:hint="default" w:asciiTheme="minorAscii" w:hAnsiTheme="minorAscii" w:eastAsiaTheme="majorEastAsia" w:cstheme="majorEastAsia"/>
          <w:b/>
          <w:bCs/>
          <w:color w:val="2E54A1" w:themeColor="accent1" w:themeShade="BF"/>
          <w:sz w:val="32"/>
          <w:szCs w:val="32"/>
        </w:rPr>
      </w:pPr>
    </w:p>
    <w:p w14:paraId="045FDA91">
      <w:pPr>
        <w:numPr>
          <w:ilvl w:val="0"/>
          <w:numId w:val="11"/>
        </w:numPr>
        <w:tabs>
          <w:tab w:val="left" w:pos="4999"/>
        </w:tabs>
        <w:bidi w:val="0"/>
        <w:ind w:left="425" w:leftChars="0" w:hanging="425" w:firstLineChars="0"/>
        <w:jc w:val="both"/>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Specifications</w:t>
      </w:r>
    </w:p>
    <w:p w14:paraId="33760AE3">
      <w:pPr>
        <w:pStyle w:val="81"/>
        <w:keepNext w:val="0"/>
        <w:keepLines w:val="0"/>
        <w:widowControl/>
        <w:numPr>
          <w:ilvl w:val="0"/>
          <w:numId w:val="13"/>
        </w:numPr>
        <w:suppressLineNumbers w:val="0"/>
        <w:ind w:left="425" w:leftChars="0" w:hanging="425" w:firstLineChars="0"/>
        <w:rPr>
          <w:rFonts w:hint="eastAsia"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Detection Performance</w:t>
      </w: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89"/>
      </w:tblGrid>
      <w:tr w14:paraId="5D872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786CFA0D">
            <w:pPr>
              <w:spacing w:after="0" w:line="240" w:lineRule="auto"/>
              <w:rPr>
                <w:rFonts w:hint="default" w:asciiTheme="minorAscii" w:hAnsiTheme="minorAscii" w:eastAsiaTheme="majorEastAsia" w:cstheme="majorEastAsia"/>
                <w:b/>
                <w:bCs/>
                <w:kern w:val="2"/>
                <w:sz w:val="24"/>
                <w:szCs w:val="24"/>
                <w:lang w:val="en-US" w:eastAsia="zh-CN" w:bidi="ar-SA"/>
              </w:rPr>
            </w:pPr>
            <w:r>
              <w:rPr>
                <w:rFonts w:hint="default" w:asciiTheme="minorAscii" w:hAnsiTheme="minorAscii"/>
                <w:b/>
                <w:bCs/>
                <w:sz w:val="24"/>
                <w:szCs w:val="24"/>
              </w:rPr>
              <w:t>Item</w:t>
            </w:r>
          </w:p>
        </w:tc>
        <w:tc>
          <w:tcPr>
            <w:tcW w:w="5689" w:type="dxa"/>
            <w:shd w:val="clear" w:color="auto" w:fill="auto"/>
            <w:vAlign w:val="top"/>
          </w:tcPr>
          <w:p w14:paraId="1DE1EC4F">
            <w:pPr>
              <w:spacing w:after="0" w:line="240" w:lineRule="auto"/>
              <w:rPr>
                <w:rFonts w:hint="default" w:asciiTheme="minorAscii" w:hAnsiTheme="minorAscii" w:eastAsiaTheme="majorEastAsia" w:cstheme="majorEastAsia"/>
                <w:b/>
                <w:bCs/>
                <w:kern w:val="2"/>
                <w:sz w:val="24"/>
                <w:szCs w:val="24"/>
                <w:lang w:val="en-US" w:eastAsia="zh-CN" w:bidi="ar-SA"/>
              </w:rPr>
            </w:pPr>
            <w:r>
              <w:rPr>
                <w:rFonts w:hint="default" w:asciiTheme="minorAscii" w:hAnsiTheme="minorAscii"/>
                <w:b/>
                <w:bCs/>
                <w:sz w:val="24"/>
                <w:szCs w:val="24"/>
              </w:rPr>
              <w:t>Specification</w:t>
            </w:r>
          </w:p>
        </w:tc>
      </w:tr>
      <w:tr w14:paraId="13B70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319CA65B">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Detection Frequency</w:t>
            </w:r>
          </w:p>
        </w:tc>
        <w:tc>
          <w:tcPr>
            <w:tcW w:w="5689" w:type="dxa"/>
            <w:shd w:val="clear" w:color="auto" w:fill="auto"/>
            <w:vAlign w:val="top"/>
          </w:tcPr>
          <w:p w14:paraId="2ACED028">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300MHz–6GHz</w:t>
            </w:r>
          </w:p>
        </w:tc>
      </w:tr>
      <w:tr w14:paraId="387B3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4E8C4796">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Detection Range</w:t>
            </w:r>
          </w:p>
        </w:tc>
        <w:tc>
          <w:tcPr>
            <w:tcW w:w="5689" w:type="dxa"/>
            <w:shd w:val="clear" w:color="auto" w:fill="auto"/>
            <w:vAlign w:val="top"/>
          </w:tcPr>
          <w:p w14:paraId="6C8254B1">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≥2 km (line-of-sight, low EMI environment)</w:t>
            </w:r>
          </w:p>
        </w:tc>
      </w:tr>
      <w:tr w14:paraId="20A92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6A3D0B93">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Coverage</w:t>
            </w:r>
          </w:p>
        </w:tc>
        <w:tc>
          <w:tcPr>
            <w:tcW w:w="5689" w:type="dxa"/>
            <w:shd w:val="clear" w:color="auto" w:fill="auto"/>
            <w:vAlign w:val="top"/>
          </w:tcPr>
          <w:p w14:paraId="564584E1">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360°</w:t>
            </w:r>
          </w:p>
        </w:tc>
      </w:tr>
      <w:tr w14:paraId="1AC5E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2862DBEC">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Direction Finding Accuracy</w:t>
            </w:r>
          </w:p>
        </w:tc>
        <w:tc>
          <w:tcPr>
            <w:tcW w:w="5689" w:type="dxa"/>
            <w:shd w:val="clear" w:color="auto" w:fill="auto"/>
            <w:vAlign w:val="top"/>
          </w:tcPr>
          <w:p w14:paraId="795D4C87">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≤20°</w:t>
            </w:r>
          </w:p>
        </w:tc>
      </w:tr>
      <w:tr w14:paraId="0DC27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156EA922">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Alert Mode</w:t>
            </w:r>
          </w:p>
        </w:tc>
        <w:tc>
          <w:tcPr>
            <w:tcW w:w="5689" w:type="dxa"/>
            <w:shd w:val="clear" w:color="auto" w:fill="auto"/>
            <w:vAlign w:val="top"/>
          </w:tcPr>
          <w:p w14:paraId="5792697C">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Sound and light</w:t>
            </w:r>
          </w:p>
        </w:tc>
      </w:tr>
      <w:tr w14:paraId="0B0AE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5EAA559B">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Response Time</w:t>
            </w:r>
          </w:p>
        </w:tc>
        <w:tc>
          <w:tcPr>
            <w:tcW w:w="5689" w:type="dxa"/>
            <w:shd w:val="clear" w:color="auto" w:fill="auto"/>
            <w:vAlign w:val="top"/>
          </w:tcPr>
          <w:p w14:paraId="4FB88C9E">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3s</w:t>
            </w:r>
          </w:p>
        </w:tc>
      </w:tr>
      <w:tr w14:paraId="310D8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203DCE77">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False Alarm Rate</w:t>
            </w:r>
          </w:p>
        </w:tc>
        <w:tc>
          <w:tcPr>
            <w:tcW w:w="5689" w:type="dxa"/>
            <w:shd w:val="clear" w:color="auto" w:fill="auto"/>
            <w:vAlign w:val="top"/>
          </w:tcPr>
          <w:p w14:paraId="312D2DE5">
            <w:pPr>
              <w:spacing w:after="0" w:line="240" w:lineRule="auto"/>
              <w:rPr>
                <w:rFonts w:hint="default" w:asciiTheme="minorAscii" w:hAnsiTheme="minorAscii" w:eastAsiaTheme="majorEastAsia" w:cstheme="majorEastAsia"/>
                <w:kern w:val="2"/>
                <w:sz w:val="24"/>
                <w:szCs w:val="24"/>
                <w:lang w:val="en-US" w:eastAsia="zh-CN" w:bidi="ar-SA"/>
              </w:rPr>
            </w:pPr>
            <w:r>
              <w:rPr>
                <w:rFonts w:hint="default" w:asciiTheme="minorAscii" w:hAnsiTheme="minorAscii"/>
                <w:sz w:val="24"/>
                <w:szCs w:val="24"/>
              </w:rPr>
              <w:t>≤1 time/12h</w:t>
            </w:r>
          </w:p>
        </w:tc>
      </w:tr>
    </w:tbl>
    <w:p w14:paraId="665EB57E">
      <w:pPr>
        <w:pStyle w:val="81"/>
        <w:keepNext w:val="0"/>
        <w:keepLines w:val="0"/>
        <w:widowControl/>
        <w:numPr>
          <w:ilvl w:val="0"/>
          <w:numId w:val="13"/>
        </w:numPr>
        <w:suppressLineNumbers w:val="0"/>
        <w:ind w:left="425" w:leftChars="0" w:hanging="425" w:firstLineChars="0"/>
        <w:rPr>
          <w:rFonts w:hint="eastAsia"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Jamming Performance</w:t>
      </w: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89"/>
      </w:tblGrid>
      <w:tr w14:paraId="58D3D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3AB8518D">
            <w:pPr>
              <w:spacing w:after="0" w:line="240" w:lineRule="auto"/>
              <w:rPr>
                <w:rFonts w:hint="default" w:asciiTheme="minorAscii" w:hAnsiTheme="minorAscii"/>
                <w:sz w:val="24"/>
                <w:szCs w:val="24"/>
                <w:lang w:val="en-US" w:eastAsia="zh-CN"/>
              </w:rPr>
            </w:pPr>
            <w:r>
              <w:rPr>
                <w:rFonts w:hint="default" w:asciiTheme="minorAscii" w:hAnsiTheme="minorAscii"/>
                <w:b/>
                <w:bCs/>
                <w:sz w:val="24"/>
                <w:szCs w:val="24"/>
              </w:rPr>
              <w:t>Item</w:t>
            </w:r>
          </w:p>
        </w:tc>
        <w:tc>
          <w:tcPr>
            <w:tcW w:w="5689" w:type="dxa"/>
            <w:shd w:val="clear" w:color="auto" w:fill="auto"/>
            <w:vAlign w:val="top"/>
          </w:tcPr>
          <w:p w14:paraId="17845E75">
            <w:pPr>
              <w:spacing w:after="0" w:line="240" w:lineRule="auto"/>
              <w:rPr>
                <w:rFonts w:hint="default" w:asciiTheme="minorAscii" w:hAnsiTheme="minorAscii"/>
                <w:sz w:val="24"/>
                <w:szCs w:val="24"/>
                <w:lang w:val="en-US" w:eastAsia="zh-CN"/>
              </w:rPr>
            </w:pPr>
            <w:r>
              <w:rPr>
                <w:rFonts w:hint="default" w:asciiTheme="minorAscii" w:hAnsiTheme="minorAscii"/>
                <w:b/>
                <w:bCs/>
                <w:sz w:val="24"/>
                <w:szCs w:val="24"/>
              </w:rPr>
              <w:t>Specification</w:t>
            </w:r>
          </w:p>
        </w:tc>
      </w:tr>
      <w:tr w14:paraId="1636D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1E2D46D2">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Fixed Jamming Bands</w:t>
            </w:r>
          </w:p>
        </w:tc>
        <w:tc>
          <w:tcPr>
            <w:tcW w:w="5689" w:type="dxa"/>
            <w:shd w:val="clear" w:color="auto" w:fill="auto"/>
            <w:vAlign w:val="top"/>
          </w:tcPr>
          <w:p w14:paraId="168BA6A7">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845–935MHz, 1160–1300MHz, 1550–1640MHz, 2.4–2.5GHz, 5.15–5.25GHz, 5.710–5.920GHz</w:t>
            </w:r>
          </w:p>
        </w:tc>
      </w:tr>
      <w:tr w14:paraId="2A19E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6E60FF8D">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Jamming Distance</w:t>
            </w:r>
          </w:p>
        </w:tc>
        <w:tc>
          <w:tcPr>
            <w:tcW w:w="5689" w:type="dxa"/>
            <w:shd w:val="clear" w:color="auto" w:fill="auto"/>
            <w:vAlign w:val="top"/>
          </w:tcPr>
          <w:p w14:paraId="25E6B50B">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≥1 km (line-of-sight, 0.1W signal source, for DJI Mavic 3 with jamming ratio 2:1)</w:t>
            </w:r>
          </w:p>
        </w:tc>
      </w:tr>
      <w:tr w14:paraId="1926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7373A2A2">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Response Time</w:t>
            </w:r>
          </w:p>
        </w:tc>
        <w:tc>
          <w:tcPr>
            <w:tcW w:w="5689" w:type="dxa"/>
            <w:shd w:val="clear" w:color="auto" w:fill="auto"/>
            <w:vAlign w:val="top"/>
          </w:tcPr>
          <w:p w14:paraId="30533C23">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≤5s</w:t>
            </w:r>
          </w:p>
        </w:tc>
      </w:tr>
    </w:tbl>
    <w:p w14:paraId="37BED39F">
      <w:pPr>
        <w:pStyle w:val="81"/>
        <w:keepNext w:val="0"/>
        <w:keepLines w:val="0"/>
        <w:widowControl/>
        <w:numPr>
          <w:ilvl w:val="0"/>
          <w:numId w:val="13"/>
        </w:numPr>
        <w:suppressLineNumbers w:val="0"/>
        <w:ind w:left="425" w:leftChars="0" w:hanging="425" w:firstLineChars="0"/>
        <w:rPr>
          <w:rFonts w:hint="eastAsia" w:asciiTheme="minorAscii" w:hAnsiTheme="minorAscii" w:eastAsiaTheme="majorEastAsia" w:cstheme="majorEastAsia"/>
          <w:b/>
          <w:bCs/>
          <w:color w:val="2E54A1" w:themeColor="accent1" w:themeShade="BF"/>
          <w:sz w:val="28"/>
          <w:szCs w:val="28"/>
          <w:lang w:val="en-US" w:eastAsia="zh-CN"/>
        </w:rPr>
      </w:pPr>
      <w:r>
        <w:rPr>
          <w:rFonts w:hint="default" w:asciiTheme="minorAscii" w:hAnsiTheme="minorAscii" w:eastAsiaTheme="majorEastAsia" w:cstheme="majorEastAsia"/>
          <w:b/>
          <w:bCs/>
          <w:color w:val="2E54A1" w:themeColor="accent1" w:themeShade="BF"/>
          <w:sz w:val="28"/>
          <w:szCs w:val="28"/>
          <w:lang w:val="en-US" w:eastAsia="zh-CN"/>
        </w:rPr>
        <w:t>Navigation Spoofing Performance</w:t>
      </w:r>
    </w:p>
    <w:tbl>
      <w:tblPr>
        <w:tblStyle w:val="89"/>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89"/>
      </w:tblGrid>
      <w:tr w14:paraId="2F46B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3FD7C7DC">
            <w:pPr>
              <w:spacing w:after="0" w:line="240" w:lineRule="auto"/>
              <w:jc w:val="left"/>
              <w:rPr>
                <w:rFonts w:hint="default" w:asciiTheme="minorAscii" w:hAnsiTheme="minorAscii"/>
                <w:sz w:val="24"/>
                <w:szCs w:val="24"/>
                <w:lang w:val="en-US" w:eastAsia="zh-CN"/>
              </w:rPr>
            </w:pPr>
            <w:r>
              <w:rPr>
                <w:rFonts w:hint="default" w:asciiTheme="minorAscii" w:hAnsiTheme="minorAscii"/>
                <w:b/>
                <w:bCs/>
                <w:sz w:val="24"/>
                <w:szCs w:val="24"/>
              </w:rPr>
              <w:t>Item</w:t>
            </w:r>
          </w:p>
        </w:tc>
        <w:tc>
          <w:tcPr>
            <w:tcW w:w="5689" w:type="dxa"/>
            <w:shd w:val="clear" w:color="auto" w:fill="auto"/>
            <w:vAlign w:val="top"/>
          </w:tcPr>
          <w:p w14:paraId="6CE52D86">
            <w:pPr>
              <w:spacing w:after="0" w:line="240" w:lineRule="auto"/>
              <w:jc w:val="left"/>
              <w:rPr>
                <w:rFonts w:hint="default" w:asciiTheme="minorAscii" w:hAnsiTheme="minorAscii"/>
                <w:sz w:val="24"/>
                <w:szCs w:val="24"/>
                <w:lang w:val="en-US" w:eastAsia="zh-CN"/>
              </w:rPr>
            </w:pPr>
            <w:r>
              <w:rPr>
                <w:rFonts w:hint="default" w:asciiTheme="minorAscii" w:hAnsiTheme="minorAscii"/>
                <w:b/>
                <w:bCs/>
                <w:sz w:val="24"/>
                <w:szCs w:val="24"/>
              </w:rPr>
              <w:t>Specification</w:t>
            </w:r>
          </w:p>
        </w:tc>
      </w:tr>
      <w:tr w14:paraId="3FA03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739738FD">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Working Frequency</w:t>
            </w:r>
          </w:p>
        </w:tc>
        <w:tc>
          <w:tcPr>
            <w:tcW w:w="5689" w:type="dxa"/>
            <w:shd w:val="clear" w:color="auto" w:fill="auto"/>
            <w:vAlign w:val="top"/>
          </w:tcPr>
          <w:p w14:paraId="1F97CE00">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GPS L1 / GLONASS R1 / BDS B1 / GALILEO E1</w:t>
            </w:r>
          </w:p>
        </w:tc>
      </w:tr>
      <w:tr w14:paraId="7B593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109A48AA">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Effective Distance</w:t>
            </w:r>
          </w:p>
        </w:tc>
        <w:tc>
          <w:tcPr>
            <w:tcW w:w="5689" w:type="dxa"/>
            <w:shd w:val="clear" w:color="auto" w:fill="auto"/>
            <w:vAlign w:val="top"/>
          </w:tcPr>
          <w:p w14:paraId="43F8D681">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≥2 km</w:t>
            </w:r>
          </w:p>
        </w:tc>
      </w:tr>
      <w:tr w14:paraId="3A204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43E0A3AA">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Response Time</w:t>
            </w:r>
          </w:p>
        </w:tc>
        <w:tc>
          <w:tcPr>
            <w:tcW w:w="5689" w:type="dxa"/>
            <w:shd w:val="clear" w:color="auto" w:fill="auto"/>
            <w:vAlign w:val="top"/>
          </w:tcPr>
          <w:p w14:paraId="76607C36">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≤3s</w:t>
            </w:r>
          </w:p>
        </w:tc>
      </w:tr>
      <w:tr w14:paraId="7A6D3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70415F9A">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Coverage</w:t>
            </w:r>
          </w:p>
        </w:tc>
        <w:tc>
          <w:tcPr>
            <w:tcW w:w="5689" w:type="dxa"/>
            <w:shd w:val="clear" w:color="auto" w:fill="auto"/>
            <w:vAlign w:val="top"/>
          </w:tcPr>
          <w:p w14:paraId="562C5C15">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360°</w:t>
            </w:r>
          </w:p>
        </w:tc>
      </w:tr>
      <w:tr w14:paraId="28130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vAlign w:val="top"/>
          </w:tcPr>
          <w:p w14:paraId="7206C7E6">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Spoofing Direction</w:t>
            </w:r>
          </w:p>
        </w:tc>
        <w:tc>
          <w:tcPr>
            <w:tcW w:w="5689" w:type="dxa"/>
            <w:shd w:val="clear" w:color="auto" w:fill="auto"/>
            <w:vAlign w:val="top"/>
          </w:tcPr>
          <w:p w14:paraId="32F6675E">
            <w:pPr>
              <w:spacing w:after="0" w:line="240" w:lineRule="auto"/>
              <w:jc w:val="left"/>
              <w:rPr>
                <w:rFonts w:hint="default" w:asciiTheme="minorAscii" w:hAnsiTheme="minorAscii"/>
                <w:sz w:val="24"/>
                <w:szCs w:val="24"/>
                <w:lang w:val="en-US" w:eastAsia="zh-CN"/>
              </w:rPr>
            </w:pPr>
            <w:r>
              <w:rPr>
                <w:rFonts w:hint="default" w:asciiTheme="minorAscii" w:hAnsiTheme="minorAscii"/>
                <w:sz w:val="24"/>
                <w:szCs w:val="24"/>
              </w:rPr>
              <w:t>Selectable</w:t>
            </w:r>
          </w:p>
        </w:tc>
      </w:tr>
    </w:tbl>
    <w:p w14:paraId="01D72A75">
      <w:pPr>
        <w:keepNext w:val="0"/>
        <w:keepLines w:val="0"/>
        <w:widowControl/>
        <w:numPr>
          <w:ilvl w:val="0"/>
          <w:numId w:val="0"/>
        </w:numPr>
        <w:suppressLineNumbers w:val="0"/>
        <w:spacing w:before="0" w:beforeAutospacing="1" w:after="0" w:afterAutospacing="1"/>
      </w:pPr>
      <w:bookmarkStart w:id="0" w:name="_GoBack"/>
      <w:bookmarkEnd w:id="0"/>
    </w:p>
    <w:p w14:paraId="5DF1A1F2">
      <w:pPr>
        <w:keepNext w:val="0"/>
        <w:keepLines w:val="0"/>
        <w:widowControl/>
        <w:numPr>
          <w:ilvl w:val="0"/>
          <w:numId w:val="0"/>
        </w:numPr>
        <w:suppressLineNumbers w:val="0"/>
        <w:spacing w:before="0" w:beforeAutospacing="1" w:after="0" w:afterAutospacing="1"/>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宋体 CN SemiBold">
    <w:panose1 w:val="020206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1312;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0288"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0288;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6B980B"/>
    <w:multiLevelType w:val="singleLevel"/>
    <w:tmpl w:val="896B980B"/>
    <w:lvl w:ilvl="0" w:tentative="0">
      <w:start w:val="1"/>
      <w:numFmt w:val="decimal"/>
      <w:lvlText w:val="%1."/>
      <w:lvlJc w:val="left"/>
      <w:pPr>
        <w:ind w:left="425" w:hanging="425"/>
      </w:pPr>
      <w:rPr>
        <w:rFonts w:hint="default"/>
      </w:rPr>
    </w:lvl>
  </w:abstractNum>
  <w:abstractNum w:abstractNumId="1">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5">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6">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7">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8">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9">
    <w:nsid w:val="69D123D7"/>
    <w:multiLevelType w:val="singleLevel"/>
    <w:tmpl w:val="69D123D7"/>
    <w:lvl w:ilvl="0" w:tentative="0">
      <w:start w:val="1"/>
      <w:numFmt w:val="decimal"/>
      <w:lvlText w:val="(%1)"/>
      <w:lvlJc w:val="left"/>
      <w:pPr>
        <w:ind w:left="425" w:hanging="425"/>
      </w:pPr>
      <w:rPr>
        <w:rFonts w:hint="default"/>
      </w:rPr>
    </w:lvl>
  </w:abstractNum>
  <w:abstractNum w:abstractNumId="10">
    <w:nsid w:val="6A84EF64"/>
    <w:multiLevelType w:val="singleLevel"/>
    <w:tmpl w:val="6A84EF64"/>
    <w:lvl w:ilvl="0" w:tentative="0">
      <w:start w:val="1"/>
      <w:numFmt w:val="decimal"/>
      <w:lvlText w:val="%1)"/>
      <w:lvlJc w:val="left"/>
      <w:pPr>
        <w:ind w:left="425" w:hanging="425"/>
      </w:pPr>
      <w:rPr>
        <w:rFonts w:hint="default"/>
      </w:rPr>
    </w:lvl>
  </w:abstractNum>
  <w:abstractNum w:abstractNumId="11">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2">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4"/>
  </w:num>
  <w:num w:numId="2">
    <w:abstractNumId w:val="1"/>
  </w:num>
  <w:num w:numId="3">
    <w:abstractNumId w:val="5"/>
  </w:num>
  <w:num w:numId="4">
    <w:abstractNumId w:val="8"/>
  </w:num>
  <w:num w:numId="5">
    <w:abstractNumId w:val="12"/>
  </w:num>
  <w:num w:numId="6">
    <w:abstractNumId w:val="6"/>
  </w:num>
  <w:num w:numId="7">
    <w:abstractNumId w:val="11"/>
  </w:num>
  <w:num w:numId="8">
    <w:abstractNumId w:val="3"/>
  </w:num>
  <w:num w:numId="9">
    <w:abstractNumId w:val="2"/>
  </w:num>
  <w:num w:numId="10">
    <w:abstractNumId w:val="7"/>
  </w:num>
  <w:num w:numId="11">
    <w:abstractNumId w:val="0"/>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0172376C"/>
    <w:rsid w:val="187E0F97"/>
    <w:rsid w:val="1BBD2F92"/>
    <w:rsid w:val="216808DF"/>
    <w:rsid w:val="233C481F"/>
    <w:rsid w:val="243416D7"/>
    <w:rsid w:val="26602252"/>
    <w:rsid w:val="29FD21F3"/>
    <w:rsid w:val="34F36D08"/>
    <w:rsid w:val="36257395"/>
    <w:rsid w:val="3772660A"/>
    <w:rsid w:val="3A43428E"/>
    <w:rsid w:val="4345786D"/>
    <w:rsid w:val="46D0233C"/>
    <w:rsid w:val="4754708C"/>
    <w:rsid w:val="48DD685E"/>
    <w:rsid w:val="50E52447"/>
    <w:rsid w:val="515D3A2F"/>
    <w:rsid w:val="52B23907"/>
    <w:rsid w:val="52BF1718"/>
    <w:rsid w:val="57711FE2"/>
    <w:rsid w:val="590912BA"/>
    <w:rsid w:val="630C7063"/>
    <w:rsid w:val="67896ED4"/>
    <w:rsid w:val="6E2C680B"/>
    <w:rsid w:val="6E3859CC"/>
    <w:rsid w:val="76544B51"/>
    <w:rsid w:val="7F18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297</Words>
  <Characters>1872</Characters>
  <Lines>0</Lines>
  <Paragraphs>0</Paragraphs>
  <TotalTime>0</TotalTime>
  <ScaleCrop>false</ScaleCrop>
  <LinksUpToDate>false</LinksUpToDate>
  <CharactersWithSpaces>2114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洪兮兮～</cp:lastModifiedBy>
  <dcterms:modified xsi:type="dcterms:W3CDTF">2025-07-14T07:36:07Z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C7C5813EC386417EA55F00E80633F11E_13</vt:lpwstr>
  </property>
  <property fmtid="{D5CDD505-2E9C-101B-9397-08002B2CF9AE}" pid="4" name="KSOTemplateDocerSaveRecord">
    <vt:lpwstr>eyJoZGlkIjoiYTUyZjNkNjQyNzJlYzA2NGUwMjU5NGI4NTU5YTc2ZjkiLCJ1c2VySWQiOiI2ODcxNzkwNDYifQ==</vt:lpwstr>
  </property>
</Properties>
</file>